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</w:pPr>
      <w:r>
        <w:t>FAQ: Why is OpenLR the right location referencing method for us?</w:t>
      </w:r>
    </w:p>
    <w:p>
      <w:pPr>
        <w:pStyle w:val="Heading2"/>
      </w:pPr>
      <w:r>
        <w:t>Question</w:t>
      </w:r>
    </w:p>
    <w:p>
      <w:r>
        <w:t>Why is OpenLR the right location referencing method for us?</w:t>
      </w:r>
    </w:p>
    <w:p>
      <w:pPr>
        <w:pStyle w:val="Heading2"/>
      </w:pPr>
      <w:r>
        <w:t>Short Summary Answer</w:t>
      </w:r>
    </w:p>
    <w:p>
      <w:r>
        <w:t>OpenLR offers several advantages that make it a strong choice for location referencing:</w:t>
      </w:r>
    </w:p>
    <w:p>
      <w:pPr>
        <w:pStyle w:val="Heading2"/>
      </w:pPr>
      <w:r>
        <w:t>Stakeholder Relevance / Rationale</w:t>
      </w:r>
    </w:p>
    <w:p>
      <w:pPr>
        <w:pStyle w:val="Heading3"/>
      </w:pPr>
      <w:r>
        <w:t>Public Authorities</w:t>
      </w:r>
    </w:p>
    <w:p>
      <w:r>
        <w:t>OpenLR enables interoperable location sharing across different map providers, ensuring consistent communication of traffic events, road closures, and navigation instructions. It is royalty-free and open-source, reducing vendor lock-in and licensing costs.</w:t>
      </w:r>
    </w:p>
    <w:p>
      <w:pPr>
        <w:pStyle w:val="Heading3"/>
      </w:pPr>
      <w:r>
        <w:t>Service Providers</w:t>
      </w:r>
    </w:p>
    <w:p>
      <w:r>
        <w:t>OpenLR’s compact encoding method is ideal for real-time data transmission, making it suitable for applications like traffic management, navigation, and real-time routing. Its dynamic location referencing supports real-time updates and adjustments.</w:t>
      </w:r>
    </w:p>
    <w:p>
      <w:pPr>
        <w:pStyle w:val="Heading3"/>
      </w:pPr>
      <w:r>
        <w:t>OEMs</w:t>
      </w:r>
    </w:p>
    <w:p>
      <w:r>
        <w:t>OpenLR’s map-agnostic nature and support for ADAS concepts make it a good fit for in-vehicle systems, electronic horizon systems, and vehicle-to-infrastructure communication. It is resilient to map changes, ensuring robust performance across different maps.</w:t>
      </w:r>
    </w:p>
    <w:p>
      <w:pPr>
        <w:pStyle w:val="Heading2"/>
      </w:pPr>
      <w:r>
        <w:t>Detailed Explanation</w:t>
      </w:r>
    </w:p>
    <w:p>
      <w:pPr>
        <w:pStyle w:val="Heading3"/>
      </w:pPr>
      <w:r>
        <w:t>Location Reference Types in OpenLR</w:t>
      </w:r>
    </w:p>
    <w:p>
      <w:r>
        <w:t>OpenLR supports various types of location references, each optimized for specific use cases:</w:t>
      </w:r>
    </w:p>
    <w:tbl>
      <w:tblPr>
        <w:tblW w:type="auto" w:w="0"/>
        <w:tblLook w:firstColumn="1" w:firstRow="1" w:lastColumn="0" w:lastRow="0" w:noHBand="0" w:noVBand="1" w:val="04A0"/>
      </w:tblPr>
      <w:tblGrid>
        <w:gridCol w:w="2160"/>
        <w:gridCol w:w="2160"/>
        <w:gridCol w:w="2160"/>
        <w:gridCol w:w="2160"/>
      </w:tblGrid>
      <w:tr>
        <w:tc>
          <w:tcPr>
            <w:tcW w:type="dxa" w:w="2160"/>
          </w:tcPr>
          <w:p>
            <w:r>
              <w:t>Type</w:t>
            </w:r>
          </w:p>
        </w:tc>
        <w:tc>
          <w:tcPr>
            <w:tcW w:type="dxa" w:w="2160"/>
          </w:tcPr>
          <w:p>
            <w:r>
              <w:t>Use Case</w:t>
            </w:r>
          </w:p>
        </w:tc>
        <w:tc>
          <w:tcPr>
            <w:tcW w:type="dxa" w:w="2160"/>
          </w:tcPr>
          <w:p>
            <w:r>
              <w:t>Strengths</w:t>
            </w:r>
          </w:p>
        </w:tc>
        <w:tc>
          <w:tcPr>
            <w:tcW w:type="dxa" w:w="2160"/>
          </w:tcPr>
          <w:p>
            <w:r>
              <w:t>Limitations</w:t>
            </w:r>
          </w:p>
        </w:tc>
      </w:tr>
      <w:tr>
        <w:tc>
          <w:tcPr>
            <w:tcW w:type="dxa" w:w="2160"/>
          </w:tcPr>
          <w:p>
            <w:r>
              <w:t>Line Location</w:t>
            </w:r>
          </w:p>
        </w:tc>
        <w:tc>
          <w:tcPr>
            <w:tcW w:type="dxa" w:w="2160"/>
          </w:tcPr>
          <w:p>
            <w:r>
              <w:t>Road segments, traffic flow</w:t>
            </w:r>
          </w:p>
        </w:tc>
        <w:tc>
          <w:tcPr>
            <w:tcW w:type="dxa" w:w="2160"/>
          </w:tcPr>
          <w:p>
            <w:r>
              <w:t>Compact, robust, widely supported</w:t>
            </w:r>
          </w:p>
        </w:tc>
        <w:tc>
          <w:tcPr>
            <w:tcW w:type="dxa" w:w="2160"/>
          </w:tcPr>
          <w:p>
            <w:r>
              <w:t>Less precise in dense urban networks</w:t>
            </w:r>
          </w:p>
        </w:tc>
      </w:tr>
      <w:tr>
        <w:tc>
          <w:tcPr>
            <w:tcW w:type="dxa" w:w="2160"/>
          </w:tcPr>
          <w:p>
            <w:r>
              <w:t>Point Along Line</w:t>
            </w:r>
          </w:p>
        </w:tc>
        <w:tc>
          <w:tcPr>
            <w:tcW w:type="dxa" w:w="2160"/>
          </w:tcPr>
          <w:p>
            <w:r>
              <w:t>Speed cameras, signs</w:t>
            </w:r>
          </w:p>
        </w:tc>
        <w:tc>
          <w:tcPr>
            <w:tcW w:type="dxa" w:w="2160"/>
          </w:tcPr>
          <w:p>
            <w:r>
              <w:t>Efficient for point events</w:t>
            </w:r>
          </w:p>
        </w:tc>
        <w:tc>
          <w:tcPr>
            <w:tcW w:type="dxa" w:w="2160"/>
          </w:tcPr>
          <w:p>
            <w:r>
              <w:t>Requires accurate segment match</w:t>
            </w:r>
          </w:p>
        </w:tc>
      </w:tr>
      <w:tr>
        <w:tc>
          <w:tcPr>
            <w:tcW w:type="dxa" w:w="2160"/>
          </w:tcPr>
          <w:p>
            <w:r>
              <w:t>POI with Access Point</w:t>
            </w:r>
          </w:p>
        </w:tc>
        <w:tc>
          <w:tcPr>
            <w:tcW w:type="dxa" w:w="2160"/>
          </w:tcPr>
          <w:p>
            <w:r>
              <w:t>Gas stations, shops</w:t>
            </w:r>
          </w:p>
        </w:tc>
        <w:tc>
          <w:tcPr>
            <w:tcW w:type="dxa" w:w="2160"/>
          </w:tcPr>
          <w:p>
            <w:r>
              <w:t>Supports navigation to real-world POIs</w:t>
            </w:r>
          </w:p>
        </w:tc>
        <w:tc>
          <w:tcPr>
            <w:tcW w:type="dxa" w:w="2160"/>
          </w:tcPr>
          <w:p>
            <w:r>
              <w:t>Complex encoding/decoding</w:t>
            </w:r>
          </w:p>
        </w:tc>
      </w:tr>
      <w:tr>
        <w:tc>
          <w:tcPr>
            <w:tcW w:type="dxa" w:w="2160"/>
          </w:tcPr>
          <w:p>
            <w:r>
              <w:t>GeoCoordinate (Extended)</w:t>
            </w:r>
          </w:p>
        </w:tc>
        <w:tc>
          <w:tcPr>
            <w:tcW w:type="dxa" w:w="2160"/>
          </w:tcPr>
          <w:p>
            <w:r>
              <w:t>Off-road points, geofencing</w:t>
            </w:r>
          </w:p>
        </w:tc>
        <w:tc>
          <w:tcPr>
            <w:tcW w:type="dxa" w:w="2160"/>
          </w:tcPr>
          <w:p>
            <w:r>
              <w:t>Flexible, not tied to roads</w:t>
            </w:r>
          </w:p>
        </w:tc>
        <w:tc>
          <w:tcPr>
            <w:tcW w:type="dxa" w:w="2160"/>
          </w:tcPr>
          <w:p>
            <w:r>
              <w:t>Not standardized in core OpenLR</w:t>
            </w:r>
          </w:p>
        </w:tc>
      </w:tr>
      <w:tr>
        <w:tc>
          <w:tcPr>
            <w:tcW w:type="dxa" w:w="2160"/>
          </w:tcPr>
          <w:p>
            <w:r>
              <w:t>Closed Line / Area (Extended)</w:t>
            </w:r>
          </w:p>
        </w:tc>
        <w:tc>
          <w:tcPr>
            <w:tcW w:type="dxa" w:w="2160"/>
          </w:tcPr>
          <w:p>
            <w:r>
              <w:t>Zones, construction areas</w:t>
            </w:r>
          </w:p>
        </w:tc>
        <w:tc>
          <w:tcPr>
            <w:tcW w:type="dxa" w:w="2160"/>
          </w:tcPr>
          <w:p>
            <w:r>
              <w:t>Supports area-based alerts</w:t>
            </w:r>
          </w:p>
        </w:tc>
        <w:tc>
          <w:tcPr>
            <w:tcW w:type="dxa" w:w="2160"/>
          </w:tcPr>
          <w:p>
            <w:r>
              <w:t>Requires OpenLR+ or custom extensions</w:t>
            </w:r>
          </w:p>
        </w:tc>
      </w:tr>
    </w:tbl>
    <w:p>
      <w:pPr>
        <w:pStyle w:val="Heading3"/>
      </w:pPr>
      <w:r>
        <w:t>OpenLR Formats and Versions</w:t>
      </w:r>
    </w:p>
    <w:p>
      <w:r>
        <w:t>OpenLR supports multiple formats and versions, each optimized for specific use cases:</w:t>
      </w:r>
    </w:p>
    <w:tbl>
      <w:tblPr>
        <w:tblW w:type="auto" w:w="0"/>
        <w:tblLook w:firstColumn="1" w:firstRow="1" w:lastColumn="0" w:lastRow="0" w:noHBand="0" w:noVBand="1" w:val="04A0"/>
      </w:tblPr>
      <w:tblGrid>
        <w:gridCol w:w="2160"/>
        <w:gridCol w:w="2160"/>
        <w:gridCol w:w="2160"/>
        <w:gridCol w:w="2160"/>
      </w:tblGrid>
      <w:tr>
        <w:tc>
          <w:tcPr>
            <w:tcW w:type="dxa" w:w="2160"/>
          </w:tcPr>
          <w:p>
            <w:r>
              <w:t>Format</w:t>
            </w:r>
          </w:p>
        </w:tc>
        <w:tc>
          <w:tcPr>
            <w:tcW w:type="dxa" w:w="2160"/>
          </w:tcPr>
          <w:p>
            <w:r>
              <w:t>Best For</w:t>
            </w:r>
          </w:p>
        </w:tc>
        <w:tc>
          <w:tcPr>
            <w:tcW w:type="dxa" w:w="2160"/>
          </w:tcPr>
          <w:p>
            <w:r>
              <w:t>Strengths</w:t>
            </w:r>
          </w:p>
        </w:tc>
        <w:tc>
          <w:tcPr>
            <w:tcW w:type="dxa" w:w="2160"/>
          </w:tcPr>
          <w:p>
            <w:r>
              <w:t>Weaknesses</w:t>
            </w:r>
          </w:p>
        </w:tc>
      </w:tr>
      <w:tr>
        <w:tc>
          <w:tcPr>
            <w:tcW w:type="dxa" w:w="2160"/>
          </w:tcPr>
          <w:p>
            <w:r>
              <w:t>Binary (V3)</w:t>
            </w:r>
          </w:p>
        </w:tc>
        <w:tc>
          <w:tcPr>
            <w:tcW w:type="dxa" w:w="2160"/>
          </w:tcPr>
          <w:p>
            <w:r>
              <w:t>Mobile broadcast, V2X, ADAS</w:t>
            </w:r>
          </w:p>
        </w:tc>
        <w:tc>
          <w:tcPr>
            <w:tcW w:type="dxa" w:w="2160"/>
          </w:tcPr>
          <w:p>
            <w:r>
              <w:t>Compact, fast parsing</w:t>
            </w:r>
          </w:p>
        </w:tc>
        <w:tc>
          <w:tcPr>
            <w:tcW w:type="dxa" w:w="2160"/>
          </w:tcPr>
          <w:p>
            <w:r>
              <w:t>Not human-readable, version-sensitive</w:t>
            </w:r>
          </w:p>
        </w:tc>
      </w:tr>
      <w:tr>
        <w:tc>
          <w:tcPr>
            <w:tcW w:type="dxa" w:w="2160"/>
          </w:tcPr>
          <w:p>
            <w:r>
              <w:t>XML</w:t>
            </w:r>
          </w:p>
        </w:tc>
        <w:tc>
          <w:tcPr>
            <w:tcW w:type="dxa" w:w="2160"/>
          </w:tcPr>
          <w:p>
            <w:r>
              <w:t>Debugging, system integration</w:t>
            </w:r>
          </w:p>
        </w:tc>
        <w:tc>
          <w:tcPr>
            <w:tcW w:type="dxa" w:w="2160"/>
          </w:tcPr>
          <w:p>
            <w:r>
              <w:t>Readable, schema-based</w:t>
            </w:r>
          </w:p>
        </w:tc>
        <w:tc>
          <w:tcPr>
            <w:tcW w:type="dxa" w:w="2160"/>
          </w:tcPr>
          <w:p>
            <w:r>
              <w:t>Larger size, slower parsing</w:t>
            </w:r>
          </w:p>
        </w:tc>
      </w:tr>
      <w:tr>
        <w:tc>
          <w:tcPr>
            <w:tcW w:type="dxa" w:w="2160"/>
          </w:tcPr>
          <w:p>
            <w:r>
              <w:t>Datex II</w:t>
            </w:r>
          </w:p>
        </w:tc>
        <w:tc>
          <w:tcPr>
            <w:tcW w:type="dxa" w:w="2160"/>
          </w:tcPr>
          <w:p>
            <w:r>
              <w:t>EU ITS systems</w:t>
            </w:r>
          </w:p>
        </w:tc>
        <w:tc>
          <w:tcPr>
            <w:tcW w:type="dxa" w:w="2160"/>
          </w:tcPr>
          <w:p>
            <w:r>
              <w:t>Standards-compliant, extensible</w:t>
            </w:r>
          </w:p>
        </w:tc>
        <w:tc>
          <w:tcPr>
            <w:tcW w:type="dxa" w:w="2160"/>
          </w:tcPr>
          <w:p>
            <w:r>
              <w:t>Complex schema, limited global support</w:t>
            </w:r>
          </w:p>
        </w:tc>
      </w:tr>
      <w:tr>
        <w:tc>
          <w:tcPr>
            <w:tcW w:type="dxa" w:w="2160"/>
          </w:tcPr>
          <w:p>
            <w:r>
              <w:t>Abstract</w:t>
            </w:r>
          </w:p>
        </w:tc>
        <w:tc>
          <w:tcPr>
            <w:tcW w:type="dxa" w:w="2160"/>
          </w:tcPr>
          <w:p>
            <w:r>
              <w:t>APIs, intermediate tools</w:t>
            </w:r>
          </w:p>
        </w:tc>
        <w:tc>
          <w:tcPr>
            <w:tcW w:type="dxa" w:w="2160"/>
          </w:tcPr>
          <w:p>
            <w:r>
              <w:t>Flexible for internal use</w:t>
            </w:r>
          </w:p>
        </w:tc>
        <w:tc>
          <w:tcPr>
            <w:tcW w:type="dxa" w:w="2160"/>
          </w:tcPr>
          <w:p>
            <w:r>
              <w:t>Not a transfer format</w:t>
            </w:r>
          </w:p>
        </w:tc>
      </w:tr>
    </w:tbl>
    <w:p>
      <w:pPr>
        <w:pStyle w:val="Heading3"/>
      </w:pPr>
      <w:r>
        <w:t>Version Evolution Highlights</w:t>
      </w:r>
    </w:p>
    <w:p>
      <w:r>
        <w:t>OpenLR has evolved through different versions, each adding new features and improvements:</w:t>
      </w:r>
    </w:p>
    <w:p>
      <w:r>
        <w:t>- V1.2+: Introduced XML format</w:t>
      </w:r>
    </w:p>
    <w:p>
      <w:r>
        <w:t>- V1.5: Added area types (circle, polygon, closed line)</w:t>
      </w:r>
    </w:p>
    <w:p>
      <w:r>
        <w:t>- V1.5r2: Fixed ClosedLine handling (e.g., roundabouts)</w:t>
      </w:r>
    </w:p>
    <w:p>
      <w:r>
        <w:t>- Binary V3: Recommended for production use</w:t>
      </w:r>
    </w:p>
    <w:p>
      <w:pPr>
        <w:pStyle w:val="Heading2"/>
      </w:pPr>
      <w:r>
        <w:t>Decision Guide</w:t>
      </w:r>
    </w:p>
    <w:p>
      <w:r>
        <w:t>To choose the right OpenLR configuration, consider the following scenarios:</w:t>
      </w:r>
    </w:p>
    <w:tbl>
      <w:tblPr>
        <w:tblW w:type="auto" w:w="0"/>
        <w:tblLook w:firstColumn="1" w:firstRow="1" w:lastColumn="0" w:lastRow="0" w:noHBand="0" w:noVBand="1" w:val="04A0"/>
      </w:tblPr>
      <w:tblGrid>
        <w:gridCol w:w="4320"/>
        <w:gridCol w:w="4320"/>
      </w:tblGrid>
      <w:tr>
        <w:tc>
          <w:tcPr>
            <w:tcW w:type="dxa" w:w="4320"/>
          </w:tcPr>
          <w:p>
            <w:r>
              <w:t>Scenario</w:t>
            </w:r>
          </w:p>
        </w:tc>
        <w:tc>
          <w:tcPr>
            <w:tcW w:type="dxa" w:w="4320"/>
          </w:tcPr>
          <w:p>
            <w:r>
              <w:t>Recommended Setup</w:t>
            </w:r>
          </w:p>
        </w:tc>
      </w:tr>
      <w:tr>
        <w:tc>
          <w:tcPr>
            <w:tcW w:type="dxa" w:w="4320"/>
          </w:tcPr>
          <w:p>
            <w:r>
              <w:t>Traffic event distribution (e.g., TMC, VMS)</w:t>
            </w:r>
          </w:p>
        </w:tc>
        <w:tc>
          <w:tcPr>
            <w:tcW w:type="dxa" w:w="4320"/>
          </w:tcPr>
          <w:p>
            <w:r>
              <w:t>Line Location + Binary V3</w:t>
            </w:r>
          </w:p>
        </w:tc>
      </w:tr>
      <w:tr>
        <w:tc>
          <w:tcPr>
            <w:tcW w:type="dxa" w:w="4320"/>
          </w:tcPr>
          <w:p>
            <w:r>
              <w:t>Speed enforcement or signage</w:t>
            </w:r>
          </w:p>
        </w:tc>
        <w:tc>
          <w:tcPr>
            <w:tcW w:type="dxa" w:w="4320"/>
          </w:tcPr>
          <w:p>
            <w:r>
              <w:t>Point Along Line + Binary or XML</w:t>
            </w:r>
          </w:p>
        </w:tc>
      </w:tr>
      <w:tr>
        <w:tc>
          <w:tcPr>
            <w:tcW w:type="dxa" w:w="4320"/>
          </w:tcPr>
          <w:p>
            <w:r>
              <w:t>Navigation to POIs</w:t>
            </w:r>
          </w:p>
        </w:tc>
        <w:tc>
          <w:tcPr>
            <w:tcW w:type="dxa" w:w="4320"/>
          </w:tcPr>
          <w:p>
            <w:r>
              <w:t>POI with Access Point + XML</w:t>
            </w:r>
          </w:p>
        </w:tc>
      </w:tr>
      <w:tr>
        <w:tc>
          <w:tcPr>
            <w:tcW w:type="dxa" w:w="4320"/>
          </w:tcPr>
          <w:p>
            <w:r>
              <w:t>Geofencing or ADAS zones</w:t>
            </w:r>
          </w:p>
        </w:tc>
        <w:tc>
          <w:tcPr>
            <w:tcW w:type="dxa" w:w="4320"/>
          </w:tcPr>
          <w:p>
            <w:r>
              <w:t>Area Location + Binary V3 or XML</w:t>
            </w:r>
          </w:p>
        </w:tc>
      </w:tr>
      <w:tr>
        <w:tc>
          <w:tcPr>
            <w:tcW w:type="dxa" w:w="4320"/>
          </w:tcPr>
          <w:p>
            <w:r>
              <w:t>Integration with EU ITS systems</w:t>
            </w:r>
          </w:p>
        </w:tc>
        <w:tc>
          <w:tcPr>
            <w:tcW w:type="dxa" w:w="4320"/>
          </w:tcPr>
          <w:p>
            <w:r>
              <w:t>Datex II + OpenLR extension</w:t>
            </w:r>
          </w:p>
        </w:tc>
      </w:tr>
      <w:tr>
        <w:tc>
          <w:tcPr>
            <w:tcW w:type="dxa" w:w="4320"/>
          </w:tcPr>
          <w:p>
            <w:r>
              <w:t>Multi-map comparison or debugging</w:t>
            </w:r>
          </w:p>
        </w:tc>
        <w:tc>
          <w:tcPr>
            <w:tcW w:type="dxa" w:w="4320"/>
          </w:tcPr>
          <w:p>
            <w:r>
              <w:t>XML format for transparency</w:t>
            </w:r>
          </w:p>
        </w:tc>
      </w:tr>
    </w:tbl>
    <w:p>
      <w:pPr>
        <w:pStyle w:val="Heading2"/>
      </w:pPr>
      <w:r>
        <w:t>Implementation Notes</w:t>
      </w:r>
    </w:p>
    <w:p>
      <w:r>
        <w:t>Consider the following implementation tips:</w:t>
      </w:r>
    </w:p>
    <w:p>
      <w:r>
        <w:t>- Ensure decoder compatibility with the chosen version (e.g., Binary V3 vs older tools).</w:t>
      </w:r>
    </w:p>
    <w:p>
      <w:r>
        <w:t>- Validate XML against schema to avoid interoperability issues.</w:t>
      </w:r>
    </w:p>
    <w:p>
      <w:r>
        <w:t>- For area-based referencing, confirm support for extended types in your toolchain (e.g., OpenLR+ or custom extensions).</w:t>
      </w:r>
    </w:p>
    <w:p>
      <w:pPr>
        <w:pStyle w:val="Heading2"/>
      </w:pPr>
      <w:r>
        <w:t>References &amp; Tools</w:t>
      </w:r>
    </w:p>
    <w:p>
      <w:r>
        <w:t>- [OpenLR Whitepaper (TomTom)](https://www.openlr.org/)</w:t>
      </w:r>
    </w:p>
    <w:p>
      <w:r>
        <w:t>- [ISO 21219-22:2017 (TISA)](https://www.iso.org/standard/66384.html)</w:t>
      </w:r>
    </w:p>
    <w:p>
      <w:r>
        <w:t>- [DATEX II OpenLR Extension](https://datex2.eu/)</w:t>
      </w:r>
    </w:p>
    <w:p>
      <w:r>
        <w:t>- [INRIX Dynamic Location Referencing](https://docs.inrix.com/)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